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48625" w14:textId="77777777" w:rsidR="00EA5830" w:rsidRPr="009D0A5C" w:rsidRDefault="00802E93" w:rsidP="00802E9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D0A5C">
        <w:rPr>
          <w:rFonts w:ascii="Times New Roman" w:eastAsia="標楷體" w:hAnsi="Times New Roman" w:cs="Times New Roman"/>
          <w:b/>
          <w:sz w:val="32"/>
          <w:szCs w:val="32"/>
        </w:rPr>
        <w:t>農業試驗所</w:t>
      </w:r>
      <w:r w:rsidRPr="009D0A5C">
        <w:rPr>
          <w:rFonts w:ascii="Times New Roman" w:eastAsia="標楷體" w:hAnsi="Times New Roman" w:cs="Times New Roman"/>
          <w:b/>
          <w:sz w:val="32"/>
          <w:szCs w:val="32"/>
        </w:rPr>
        <w:t>120</w:t>
      </w:r>
      <w:proofErr w:type="gramStart"/>
      <w:r w:rsidRPr="009D0A5C">
        <w:rPr>
          <w:rFonts w:ascii="Times New Roman" w:eastAsia="標楷體" w:hAnsi="Times New Roman" w:cs="Times New Roman"/>
          <w:b/>
          <w:sz w:val="32"/>
          <w:szCs w:val="32"/>
        </w:rPr>
        <w:t>周年所慶</w:t>
      </w:r>
      <w:proofErr w:type="gramEnd"/>
      <w:r w:rsidRPr="009D0A5C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9D0A5C">
        <w:rPr>
          <w:rFonts w:ascii="Times New Roman" w:eastAsia="標楷體" w:hAnsi="Times New Roman" w:cs="Times New Roman"/>
          <w:b/>
          <w:sz w:val="32"/>
          <w:szCs w:val="32"/>
        </w:rPr>
        <w:t>系列活動手冊</w:t>
      </w:r>
    </w:p>
    <w:p w14:paraId="2DCB0D36" w14:textId="77777777" w:rsidR="00802E93" w:rsidRDefault="00802E93" w:rsidP="00802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02E93">
        <w:rPr>
          <w:rFonts w:ascii="Times New Roman" w:eastAsia="標楷體" w:hAnsi="Times New Roman" w:cs="Times New Roman" w:hint="eastAsia"/>
          <w:sz w:val="28"/>
          <w:szCs w:val="28"/>
        </w:rPr>
        <w:t>專題演講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656"/>
        <w:gridCol w:w="3160"/>
        <w:gridCol w:w="2726"/>
        <w:gridCol w:w="2640"/>
      </w:tblGrid>
      <w:tr w:rsidR="00802E93" w14:paraId="5F1A833D" w14:textId="77777777" w:rsidTr="000D4268">
        <w:tc>
          <w:tcPr>
            <w:tcW w:w="2224" w:type="dxa"/>
          </w:tcPr>
          <w:p w14:paraId="61C6AD4D" w14:textId="77777777" w:rsidR="00802E93" w:rsidRDefault="00802E93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辦理時間</w:t>
            </w:r>
          </w:p>
        </w:tc>
        <w:tc>
          <w:tcPr>
            <w:tcW w:w="2224" w:type="dxa"/>
          </w:tcPr>
          <w:p w14:paraId="1DF35744" w14:textId="77777777" w:rsidR="00802E93" w:rsidRDefault="0056757A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224" w:type="dxa"/>
          </w:tcPr>
          <w:p w14:paraId="1B677B96" w14:textId="77777777" w:rsidR="00802E93" w:rsidRDefault="00802E93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辦理地點</w:t>
            </w:r>
          </w:p>
        </w:tc>
        <w:tc>
          <w:tcPr>
            <w:tcW w:w="2225" w:type="dxa"/>
          </w:tcPr>
          <w:p w14:paraId="6BFCDF97" w14:textId="4EE5B540" w:rsidR="00802E93" w:rsidRDefault="0056757A" w:rsidP="00D610A8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生技組</w:t>
            </w:r>
            <w:r w:rsidR="00D61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D610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樓大會議室</w:t>
            </w:r>
            <w:bookmarkStart w:id="0" w:name="_GoBack"/>
            <w:bookmarkEnd w:id="0"/>
          </w:p>
        </w:tc>
      </w:tr>
      <w:tr w:rsidR="000D4268" w14:paraId="725D393D" w14:textId="77777777" w:rsidTr="000D4268">
        <w:tc>
          <w:tcPr>
            <w:tcW w:w="2224" w:type="dxa"/>
          </w:tcPr>
          <w:p w14:paraId="17299DD8" w14:textId="77777777" w:rsidR="000D4268" w:rsidRDefault="000D4268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專題演講題目</w:t>
            </w:r>
          </w:p>
        </w:tc>
        <w:tc>
          <w:tcPr>
            <w:tcW w:w="2224" w:type="dxa"/>
          </w:tcPr>
          <w:p w14:paraId="3299236A" w14:textId="77777777" w:rsidR="000D4268" w:rsidRDefault="0056757A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利用</w:t>
            </w:r>
            <w:r w:rsidRPr="005675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NGS</w:t>
            </w:r>
            <w:r w:rsidRPr="005675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開發</w:t>
            </w:r>
            <w:r w:rsidRPr="005675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SSR</w:t>
            </w:r>
            <w:r w:rsidRPr="005675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分子標誌及高通量</w:t>
            </w:r>
            <w:r w:rsidRPr="005675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SNP</w:t>
            </w:r>
            <w:r w:rsidRPr="005675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基因型分析</w:t>
            </w:r>
          </w:p>
        </w:tc>
        <w:tc>
          <w:tcPr>
            <w:tcW w:w="2224" w:type="dxa"/>
          </w:tcPr>
          <w:p w14:paraId="37F058F9" w14:textId="77777777" w:rsidR="000D4268" w:rsidRDefault="000D4268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主辦單位</w:t>
            </w:r>
          </w:p>
        </w:tc>
        <w:tc>
          <w:tcPr>
            <w:tcW w:w="2225" w:type="dxa"/>
          </w:tcPr>
          <w:p w14:paraId="1A921C87" w14:textId="77777777" w:rsidR="000D4268" w:rsidRDefault="0056757A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農業試驗所</w:t>
            </w:r>
          </w:p>
        </w:tc>
      </w:tr>
      <w:tr w:rsidR="00802E93" w14:paraId="4A7ABFAA" w14:textId="77777777" w:rsidTr="009D0A5C">
        <w:tc>
          <w:tcPr>
            <w:tcW w:w="2224" w:type="dxa"/>
          </w:tcPr>
          <w:p w14:paraId="7D69BCF6" w14:textId="77777777" w:rsidR="00802E93" w:rsidRDefault="00802E93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主講者</w:t>
            </w:r>
          </w:p>
        </w:tc>
        <w:tc>
          <w:tcPr>
            <w:tcW w:w="2224" w:type="dxa"/>
          </w:tcPr>
          <w:p w14:paraId="5C832778" w14:textId="77777777" w:rsidR="00802E93" w:rsidRDefault="0056757A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胡凱康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副教授</w:t>
            </w:r>
          </w:p>
        </w:tc>
        <w:tc>
          <w:tcPr>
            <w:tcW w:w="2224" w:type="dxa"/>
          </w:tcPr>
          <w:p w14:paraId="2E8E1B69" w14:textId="77777777" w:rsidR="00802E93" w:rsidRDefault="00802E93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主講者服務單位</w:t>
            </w:r>
          </w:p>
        </w:tc>
        <w:tc>
          <w:tcPr>
            <w:tcW w:w="2225" w:type="dxa"/>
          </w:tcPr>
          <w:p w14:paraId="1CBE4571" w14:textId="77777777" w:rsidR="00802E93" w:rsidRDefault="0056757A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國立台灣大學</w:t>
            </w:r>
          </w:p>
        </w:tc>
      </w:tr>
      <w:tr w:rsidR="00802E93" w:rsidRPr="00AF4D8E" w14:paraId="49066534" w14:textId="77777777" w:rsidTr="009D0A5C">
        <w:tc>
          <w:tcPr>
            <w:tcW w:w="2224" w:type="dxa"/>
          </w:tcPr>
          <w:p w14:paraId="6217BEC3" w14:textId="77777777" w:rsidR="00802E93" w:rsidRDefault="00802E93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主講者介紹</w:t>
            </w:r>
          </w:p>
          <w:p w14:paraId="43FE2F28" w14:textId="77777777" w:rsidR="00802E93" w:rsidRPr="00802E93" w:rsidRDefault="00802E93" w:rsidP="00802E93">
            <w:pPr>
              <w:spacing w:beforeLines="20" w:before="72" w:afterLines="20" w:after="72"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802E93">
              <w:rPr>
                <w:rFonts w:ascii="Times New Roman" w:eastAsia="標楷體" w:hAnsi="Times New Roman" w:cs="Times New Roman" w:hint="eastAsia"/>
                <w:szCs w:val="24"/>
              </w:rPr>
              <w:t>(200</w:t>
            </w:r>
            <w:r w:rsidRPr="00802E93">
              <w:rPr>
                <w:rFonts w:ascii="Times New Roman" w:eastAsia="標楷體" w:hAnsi="Times New Roman" w:cs="Times New Roman" w:hint="eastAsia"/>
                <w:szCs w:val="24"/>
              </w:rPr>
              <w:t>字以內簡介</w:t>
            </w:r>
            <w:r w:rsidRPr="00802E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673" w:type="dxa"/>
            <w:gridSpan w:val="3"/>
          </w:tcPr>
          <w:p w14:paraId="0963F617" w14:textId="77777777" w:rsidR="00802E93" w:rsidRDefault="00A31E48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最高學歷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美國華盛頓州立大學博士</w:t>
            </w:r>
          </w:p>
          <w:p w14:paraId="5AE47AB0" w14:textId="77777777" w:rsidR="00A31E48" w:rsidRDefault="00A31E48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國立台灣大學農藝系副教授</w:t>
            </w:r>
          </w:p>
          <w:p w14:paraId="0A43A3D5" w14:textId="77777777" w:rsidR="00A31E48" w:rsidRPr="00A31E48" w:rsidRDefault="00A31E48" w:rsidP="00A31E48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主要專長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: </w:t>
            </w:r>
            <w:proofErr w:type="gramStart"/>
            <w:r w:rsidRPr="00A3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‧</w:t>
            </w:r>
            <w:proofErr w:type="gramEnd"/>
            <w:r w:rsidRPr="00A3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數量遺傳學</w:t>
            </w:r>
          </w:p>
          <w:p w14:paraId="5FF0D973" w14:textId="77777777" w:rsidR="00A31E48" w:rsidRPr="00A31E48" w:rsidRDefault="00A31E48" w:rsidP="00A31E48">
            <w:pPr>
              <w:spacing w:beforeLines="20" w:before="72" w:afterLines="20" w:after="72" w:line="0" w:lineRule="atLeast"/>
              <w:ind w:leftChars="609" w:left="14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3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‧</w:t>
            </w:r>
            <w:proofErr w:type="gramEnd"/>
            <w:r w:rsidRPr="00A3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統計基因體學</w:t>
            </w:r>
          </w:p>
          <w:p w14:paraId="35D2FE06" w14:textId="77777777" w:rsidR="00A31E48" w:rsidRDefault="00A31E48" w:rsidP="00A31E48">
            <w:pPr>
              <w:spacing w:beforeLines="20" w:before="72" w:afterLines="20" w:after="72" w:line="0" w:lineRule="atLeast"/>
              <w:ind w:firstLineChars="522" w:firstLine="14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3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‧</w:t>
            </w:r>
            <w:proofErr w:type="gramEnd"/>
            <w:r w:rsidRPr="00A3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分子育種</w:t>
            </w:r>
          </w:p>
          <w:p w14:paraId="7A67FF92" w14:textId="77777777" w:rsidR="006802D6" w:rsidRDefault="006802D6" w:rsidP="00A31E48">
            <w:pPr>
              <w:spacing w:beforeLines="20" w:before="72" w:afterLines="20" w:after="72" w:line="0" w:lineRule="atLeast"/>
              <w:ind w:firstLineChars="522" w:firstLine="14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2C48A9D" w14:textId="24432E76" w:rsidR="00A31E48" w:rsidRPr="00E41E18" w:rsidRDefault="00E41E18" w:rsidP="00747066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1E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胡教授係國內遺傳育種領域中頂尖專家之一，專長為數量遺傳</w:t>
            </w:r>
            <w:r w:rsidR="00747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分析與開發分子輔助育種相關技術，近年來</w:t>
            </w:r>
            <w:r w:rsidRPr="00E41E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應用分子標誌於</w:t>
            </w:r>
            <w:r w:rsidR="00747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稻米、玉米、西瓜與甜</w:t>
            </w:r>
            <w:proofErr w:type="gramStart"/>
            <w:r w:rsidR="00747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椒</w:t>
            </w:r>
            <w:proofErr w:type="gramEnd"/>
            <w:r w:rsidR="00747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等作物，進行品種檢查、米含量檢測、重要性狀之基因定位等研究</w:t>
            </w:r>
            <w:r w:rsidR="007E77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E41E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對於強化我國種苗檢驗與</w:t>
            </w:r>
            <w:r w:rsidRPr="00E41E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MAS</w:t>
            </w:r>
            <w:r w:rsidR="007E77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應用技術不遺餘力。</w:t>
            </w:r>
            <w:r w:rsidRPr="00E41E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目前已完成開發台灣稻米品種鑑別之標誌套件，並發展對於小包裝米之品種標示檢驗技術，為我國農產品檢驗把關；並協助國內種苗業者</w:t>
            </w:r>
            <w:r w:rsidR="007E77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針對重要性狀架構分子育種選拔</w:t>
            </w:r>
            <w:proofErr w:type="gramStart"/>
            <w:r w:rsidR="007E77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平台與篩檢</w:t>
            </w:r>
            <w:proofErr w:type="gramEnd"/>
            <w:r w:rsidR="007E77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能力，縮短新品種釋出期限，</w:t>
            </w:r>
            <w:r w:rsidRPr="00E41E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大幅提升產業競爭力。</w:t>
            </w:r>
          </w:p>
        </w:tc>
      </w:tr>
      <w:tr w:rsidR="00802E93" w14:paraId="26F11DF6" w14:textId="77777777" w:rsidTr="009D0A5C">
        <w:tc>
          <w:tcPr>
            <w:tcW w:w="2224" w:type="dxa"/>
          </w:tcPr>
          <w:p w14:paraId="15655044" w14:textId="77777777" w:rsidR="00802E93" w:rsidRDefault="00802E93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演講摘要</w:t>
            </w:r>
          </w:p>
          <w:p w14:paraId="6AC4F90C" w14:textId="77777777" w:rsidR="00802E93" w:rsidRPr="00802E93" w:rsidRDefault="00802E93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02E93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(500</w:t>
            </w:r>
            <w:r w:rsidRPr="00802E93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proofErr w:type="gramStart"/>
            <w:r w:rsidRPr="00802E93">
              <w:rPr>
                <w:rFonts w:ascii="Times New Roman" w:eastAsia="標楷體" w:hAnsi="Times New Roman" w:cs="Times New Roman" w:hint="eastAsia"/>
                <w:szCs w:val="24"/>
              </w:rPr>
              <w:t>以內</w:t>
            </w:r>
            <w:r w:rsidRPr="00802E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proofErr w:type="gramEnd"/>
          </w:p>
        </w:tc>
        <w:tc>
          <w:tcPr>
            <w:tcW w:w="6673" w:type="dxa"/>
            <w:gridSpan w:val="3"/>
          </w:tcPr>
          <w:p w14:paraId="219331FB" w14:textId="77777777" w:rsidR="00802E93" w:rsidRDefault="00A965A4" w:rsidP="00A965A4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分子標誌為近代遺傳學的重要研究工具，亦可用於育種計畫中追蹤特定基因的傳遞與遺傳背景的回復，提高作物育種的效率。目前最廣為應用的分子標誌包括簡單重複序列</w:t>
            </w:r>
            <w:r w:rsidRPr="00A965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(Simple sequence repeat, SSR) 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與單一核苷酸多型性</w:t>
            </w:r>
            <w:r w:rsidRPr="00A965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(Single nucleotide polymorphism, SNP)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。隨著定序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技術與生物資訊工具的快速發展，分子標誌的開發門檻大幅降低，上述兩種分子標誌的開發已不再限制於模式植物。部分的次世代定序</w:t>
            </w:r>
            <w:r w:rsidRPr="00A965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(Next generation sequencing) 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平台中，可以產生大量較長</w:t>
            </w:r>
            <w:r w:rsidRPr="00A965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(400-500 base pair) 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的序列，在經過重複序列分析、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側翼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序列特性分析、引子設計、以及引子專一性分析之後，可獲得可能的</w:t>
            </w:r>
            <w:r w:rsidRPr="00A965A4">
              <w:rPr>
                <w:rFonts w:ascii="Times New Roman" w:eastAsia="標楷體" w:hAnsi="Times New Roman" w:cs="Times New Roman"/>
                <w:sz w:val="28"/>
                <w:szCs w:val="28"/>
              </w:rPr>
              <w:t>SSR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分子標誌。這個方法已成功應用於水稻、薏苡、番椒、西瓜、茶、與金花石蒜等物種。經過實驗驗證後的</w:t>
            </w:r>
            <w:r w:rsidRPr="00A965A4">
              <w:rPr>
                <w:rFonts w:ascii="Times New Roman" w:eastAsia="標楷體" w:hAnsi="Times New Roman" w:cs="Times New Roman"/>
                <w:sz w:val="28"/>
                <w:szCs w:val="28"/>
              </w:rPr>
              <w:t>SSR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分子標誌，可用不同螢光標定引子後組合為模組</w:t>
            </w:r>
            <w:r w:rsidRPr="00A965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(panel)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，並在多重聚合酶連鎖反應</w:t>
            </w:r>
            <w:r w:rsidRPr="00A965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(multiplex PCR) 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增幅後以多重螢光毛細管電泳系統進行基因型分析。次世代定序系統可以平行進行大量定序的特性，亦可應用於</w:t>
            </w:r>
            <w:r w:rsidRPr="00A965A4">
              <w:rPr>
                <w:rFonts w:ascii="Times New Roman" w:eastAsia="標楷體" w:hAnsi="Times New Roman" w:cs="Times New Roman"/>
                <w:sz w:val="28"/>
                <w:szCs w:val="28"/>
              </w:rPr>
              <w:t>SNP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分子標誌的開發與基因型分析上。經過限制酶切割後的特定序列，以序列條碼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(barcode) 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標定個別個體之後，便可以將族群混合為單一文庫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(library) 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後平行定序。藉由降低基因體的複雜度，在相同的定序容量之下提高每一個體的定序深度，可提高序列比對的準確度，找出族群內有差異的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SNP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分子標誌，並同時完成基因型分析，因此這樣的程序被稱為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Genotyping-by-sequencing (GBS)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。所獲得大量的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SNP</w:t>
            </w:r>
            <w:r w:rsidRPr="00A965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分子標誌，亦可轉換為其他中高通量晶片系統進行基因型分析，以降低資料分析的複雜度。</w:t>
            </w:r>
          </w:p>
        </w:tc>
      </w:tr>
      <w:tr w:rsidR="00802E93" w14:paraId="2FD39217" w14:textId="77777777" w:rsidTr="009D0A5C">
        <w:tc>
          <w:tcPr>
            <w:tcW w:w="2224" w:type="dxa"/>
          </w:tcPr>
          <w:p w14:paraId="0B172D8D" w14:textId="77777777" w:rsidR="00802E93" w:rsidRDefault="00802E93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場次聯絡資訊</w:t>
            </w:r>
          </w:p>
        </w:tc>
        <w:tc>
          <w:tcPr>
            <w:tcW w:w="6673" w:type="dxa"/>
            <w:gridSpan w:val="3"/>
          </w:tcPr>
          <w:p w14:paraId="133B4322" w14:textId="77777777" w:rsidR="00802E93" w:rsidRPr="00747066" w:rsidRDefault="00802E93" w:rsidP="00802E93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 w:rsidR="0056757A" w:rsidRPr="00747066">
              <w:rPr>
                <w:rFonts w:ascii="標楷體" w:eastAsia="標楷體" w:hAnsi="標楷體" w:cs="Times New Roman" w:hint="eastAsia"/>
                <w:sz w:val="28"/>
                <w:szCs w:val="28"/>
              </w:rPr>
              <w:t>曾馨儀</w:t>
            </w:r>
          </w:p>
          <w:p w14:paraId="638B18B6" w14:textId="77777777" w:rsidR="00802E93" w:rsidRPr="00747066" w:rsidRDefault="00802E93" w:rsidP="00802E93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7066">
              <w:rPr>
                <w:rFonts w:ascii="標楷體" w:eastAsia="標楷體" w:hAnsi="標楷體" w:cs="Times New Roman" w:hint="eastAsia"/>
                <w:sz w:val="28"/>
                <w:szCs w:val="28"/>
              </w:rPr>
              <w:t>電話：</w:t>
            </w:r>
            <w:r w:rsidR="0056757A" w:rsidRPr="00747066">
              <w:rPr>
                <w:rFonts w:ascii="標楷體" w:eastAsia="標楷體" w:hAnsi="標楷體" w:cs="Times New Roman" w:hint="eastAsia"/>
                <w:sz w:val="28"/>
                <w:szCs w:val="28"/>
              </w:rPr>
              <w:t>04-23317355</w:t>
            </w:r>
          </w:p>
          <w:p w14:paraId="6A3FE225" w14:textId="77777777" w:rsidR="00802E93" w:rsidRDefault="00802E93" w:rsidP="00802E93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7066">
              <w:rPr>
                <w:rFonts w:ascii="標楷體" w:eastAsia="標楷體" w:hAnsi="標楷體" w:cs="Times New Roman" w:hint="eastAsia"/>
                <w:sz w:val="28"/>
                <w:szCs w:val="28"/>
              </w:rPr>
              <w:t>E-MAIL：</w:t>
            </w:r>
            <w:r w:rsidR="0056757A" w:rsidRPr="00747066">
              <w:rPr>
                <w:rFonts w:ascii="標楷體" w:eastAsia="標楷體" w:hAnsi="標楷體" w:cs="Times New Roman" w:hint="eastAsia"/>
                <w:sz w:val="28"/>
                <w:szCs w:val="28"/>
              </w:rPr>
              <w:t>hytseng@tari.gov.tw</w:t>
            </w:r>
          </w:p>
        </w:tc>
      </w:tr>
      <w:tr w:rsidR="009D0A5C" w14:paraId="10E85A1A" w14:textId="77777777" w:rsidTr="009D0A5C">
        <w:tc>
          <w:tcPr>
            <w:tcW w:w="2224" w:type="dxa"/>
          </w:tcPr>
          <w:p w14:paraId="62983E5E" w14:textId="77777777" w:rsidR="009D0A5C" w:rsidRDefault="009D0A5C" w:rsidP="009D0A5C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相關照片提供</w:t>
            </w:r>
          </w:p>
        </w:tc>
        <w:tc>
          <w:tcPr>
            <w:tcW w:w="6673" w:type="dxa"/>
            <w:gridSpan w:val="3"/>
          </w:tcPr>
          <w:p w14:paraId="059D76F7" w14:textId="074D5EA2" w:rsidR="009D0A5C" w:rsidRDefault="00ED206A" w:rsidP="009D0A5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ebdings" w:char="F067"/>
            </w:r>
            <w:r w:rsidR="009D0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          □否 </w:t>
            </w:r>
          </w:p>
          <w:p w14:paraId="30233233" w14:textId="00F481BA" w:rsidR="005002DB" w:rsidRPr="009D0A5C" w:rsidRDefault="005002DB" w:rsidP="009D0A5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7AF3834" wp14:editId="00CB6E0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2272030</wp:posOffset>
                  </wp:positionV>
                  <wp:extent cx="5274000" cy="3798000"/>
                  <wp:effectExtent l="0" t="0" r="3175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番椒連鎖圖譜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000" cy="37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341769" w14:textId="77777777" w:rsidR="009D0A5C" w:rsidRDefault="009D0A5C" w:rsidP="009D0A5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圖片以</w:t>
            </w:r>
            <w:r w:rsidRPr="00F52CD1">
              <w:rPr>
                <w:rFonts w:ascii="標楷體" w:eastAsia="標楷體" w:hAnsi="標楷體" w:hint="eastAsia"/>
                <w:color w:val="000000"/>
              </w:rPr>
              <w:t>jpg 格式</w:t>
            </w:r>
            <w:r>
              <w:rPr>
                <w:rFonts w:ascii="標楷體" w:eastAsia="標楷體" w:hAnsi="標楷體" w:hint="eastAsia"/>
                <w:color w:val="000000"/>
              </w:rPr>
              <w:t>為主，</w:t>
            </w:r>
            <w:r w:rsidRPr="00F52CD1">
              <w:rPr>
                <w:rFonts w:ascii="標楷體" w:eastAsia="標楷體" w:hAnsi="標楷體" w:hint="eastAsia"/>
                <w:color w:val="000000"/>
              </w:rPr>
              <w:t>檔案大小為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2CD1">
                <w:rPr>
                  <w:rFonts w:ascii="標楷體" w:eastAsia="標楷體" w:hAnsi="標楷體" w:hint="eastAsia"/>
                  <w:color w:val="000000"/>
                </w:rPr>
                <w:t>3M</w:t>
              </w:r>
            </w:smartTag>
            <w:r w:rsidRPr="00F52CD1">
              <w:rPr>
                <w:rFonts w:ascii="標楷體" w:eastAsia="標楷體" w:hAnsi="標楷體" w:hint="eastAsia"/>
                <w:color w:val="000000"/>
              </w:rPr>
              <w:t>B~</w:t>
            </w:r>
            <w:smartTag w:uri="urn:schemas-microsoft-com:office:smarttags" w:element="chmetcnv">
              <w:smartTagPr>
                <w:attr w:name="UnitName" w:val="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2CD1">
                <w:rPr>
                  <w:rFonts w:ascii="標楷體" w:eastAsia="標楷體" w:hAnsi="標楷體" w:hint="eastAsia"/>
                  <w:color w:val="000000"/>
                </w:rPr>
                <w:t>5M</w:t>
              </w:r>
            </w:smartTag>
            <w:r w:rsidRPr="00F52CD1">
              <w:rPr>
                <w:rFonts w:ascii="標楷體" w:eastAsia="標楷體" w:hAnsi="標楷體" w:hint="eastAsia"/>
                <w:color w:val="000000"/>
              </w:rPr>
              <w:t>B 為印刷最佳解析(勿提供模糊、解析</w:t>
            </w:r>
            <w:r>
              <w:rPr>
                <w:rFonts w:ascii="標楷體" w:eastAsia="標楷體" w:hAnsi="標楷體" w:hint="eastAsia"/>
                <w:color w:val="000000"/>
              </w:rPr>
              <w:t>度</w:t>
            </w:r>
            <w:r w:rsidRPr="00F52CD1">
              <w:rPr>
                <w:rFonts w:ascii="標楷體" w:eastAsia="標楷體" w:hAnsi="標楷體" w:hint="eastAsia"/>
                <w:color w:val="000000"/>
              </w:rPr>
              <w:t>太小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F52CD1">
              <w:rPr>
                <w:rFonts w:ascii="標楷體" w:eastAsia="標楷體" w:hAnsi="標楷體" w:hint="eastAsia"/>
                <w:color w:val="000000"/>
              </w:rPr>
              <w:t>圖檔)</w:t>
            </w:r>
          </w:p>
          <w:p w14:paraId="04E99AE8" w14:textId="05FCFDCC" w:rsidR="00ED206A" w:rsidRDefault="00ED206A" w:rsidP="009D0A5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標題：番椒</w:t>
            </w:r>
            <w:r>
              <w:rPr>
                <w:rFonts w:ascii="標楷體" w:eastAsia="標楷體" w:hAnsi="標楷體" w:hint="eastAsia"/>
                <w:color w:val="000000"/>
              </w:rPr>
              <w:t>Genotyping-by-sequencing獲得包含1194個分子標誌的連鎖群圖譜</w:t>
            </w:r>
          </w:p>
        </w:tc>
      </w:tr>
    </w:tbl>
    <w:p w14:paraId="3CD5442E" w14:textId="77777777" w:rsidR="000D4268" w:rsidRDefault="000D4268" w:rsidP="000D4268">
      <w:pPr>
        <w:pStyle w:val="a3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</w:p>
    <w:sectPr w:rsidR="000D42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6D158" w14:textId="77777777" w:rsidR="005A02F4" w:rsidRDefault="005A02F4" w:rsidP="005002DB">
      <w:r>
        <w:separator/>
      </w:r>
    </w:p>
  </w:endnote>
  <w:endnote w:type="continuationSeparator" w:id="0">
    <w:p w14:paraId="09E5AA11" w14:textId="77777777" w:rsidR="005A02F4" w:rsidRDefault="005A02F4" w:rsidP="0050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390C0" w14:textId="77777777" w:rsidR="005A02F4" w:rsidRDefault="005A02F4" w:rsidP="005002DB">
      <w:r>
        <w:separator/>
      </w:r>
    </w:p>
  </w:footnote>
  <w:footnote w:type="continuationSeparator" w:id="0">
    <w:p w14:paraId="359F8B2F" w14:textId="77777777" w:rsidR="005A02F4" w:rsidRDefault="005A02F4" w:rsidP="0050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106"/>
    <w:multiLevelType w:val="hybridMultilevel"/>
    <w:tmpl w:val="08D2C806"/>
    <w:lvl w:ilvl="0" w:tplc="85ACA8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93"/>
    <w:rsid w:val="000D4268"/>
    <w:rsid w:val="00335D85"/>
    <w:rsid w:val="005002DB"/>
    <w:rsid w:val="0050652B"/>
    <w:rsid w:val="0056757A"/>
    <w:rsid w:val="005A02F4"/>
    <w:rsid w:val="006802D6"/>
    <w:rsid w:val="00747066"/>
    <w:rsid w:val="007E77B3"/>
    <w:rsid w:val="00802E93"/>
    <w:rsid w:val="00975CC1"/>
    <w:rsid w:val="009D0A5C"/>
    <w:rsid w:val="00A31E48"/>
    <w:rsid w:val="00A965A4"/>
    <w:rsid w:val="00AF4D8E"/>
    <w:rsid w:val="00D610A8"/>
    <w:rsid w:val="00E0676E"/>
    <w:rsid w:val="00E41E18"/>
    <w:rsid w:val="00EA5830"/>
    <w:rsid w:val="00ED206A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3BB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93"/>
    <w:pPr>
      <w:ind w:leftChars="200" w:left="480"/>
    </w:pPr>
  </w:style>
  <w:style w:type="table" w:styleId="a4">
    <w:name w:val="Table Grid"/>
    <w:basedOn w:val="a1"/>
    <w:uiPriority w:val="59"/>
    <w:rsid w:val="0080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0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2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2D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0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02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93"/>
    <w:pPr>
      <w:ind w:leftChars="200" w:left="480"/>
    </w:pPr>
  </w:style>
  <w:style w:type="table" w:styleId="a4">
    <w:name w:val="Table Grid"/>
    <w:basedOn w:val="a1"/>
    <w:uiPriority w:val="59"/>
    <w:rsid w:val="0080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0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2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2D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0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0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0C92-D0AF-4E17-A3E8-A0483CFB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技服組-吳宜晏</dc:creator>
  <cp:lastModifiedBy>生技組-曾馨儀</cp:lastModifiedBy>
  <cp:revision>6</cp:revision>
  <cp:lastPrinted>2015-05-26T06:47:00Z</cp:lastPrinted>
  <dcterms:created xsi:type="dcterms:W3CDTF">2015-06-10T08:34:00Z</dcterms:created>
  <dcterms:modified xsi:type="dcterms:W3CDTF">2015-08-07T07:49:00Z</dcterms:modified>
</cp:coreProperties>
</file>